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2018年度新疆喀什地区英吉沙县教育局（本级）部门决算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1、贯彻党中央、自治区党委关于教育工作的方针政策和决策部署以及地委、县委工作要求，负责各级各类教育的统筹规划和综合协调，制定教育事业发展规划和计。</w:t>
      </w:r>
      <w:r>
        <w:rPr>
          <w:rFonts w:hint="eastAsia" w:ascii="仿宋_GB2312" w:eastAsia="仿宋_GB2312"/>
          <w:sz w:val="32"/>
          <w:szCs w:val="32"/>
        </w:rPr>
        <w:br w:type="textWrapping"/>
      </w:r>
      <w:r>
        <w:rPr>
          <w:rFonts w:hint="eastAsia" w:ascii="仿宋_GB2312" w:eastAsia="仿宋_GB2312"/>
          <w:sz w:val="32"/>
          <w:szCs w:val="32"/>
        </w:rPr>
        <w:t xml:space="preserve">    2、负责国家通用语言文字宣传规划、规范推广。</w:t>
      </w:r>
      <w:r>
        <w:rPr>
          <w:rFonts w:hint="eastAsia" w:ascii="仿宋_GB2312" w:eastAsia="仿宋_GB2312"/>
          <w:sz w:val="32"/>
          <w:szCs w:val="32"/>
        </w:rPr>
        <w:br w:type="textWrapping"/>
      </w:r>
      <w:r>
        <w:rPr>
          <w:rFonts w:hint="eastAsia" w:ascii="仿宋_GB2312" w:eastAsia="仿宋_GB2312"/>
          <w:sz w:val="32"/>
          <w:szCs w:val="32"/>
        </w:rPr>
        <w:t xml:space="preserve">    3、负责民族语言文字规范化、标准化、信息化工作。</w:t>
      </w:r>
      <w:r>
        <w:rPr>
          <w:rFonts w:hint="eastAsia" w:ascii="仿宋_GB2312" w:eastAsia="仿宋_GB2312"/>
          <w:sz w:val="32"/>
          <w:szCs w:val="32"/>
        </w:rPr>
        <w:br w:type="textWrapping"/>
      </w:r>
      <w:r>
        <w:rPr>
          <w:rFonts w:hint="eastAsia" w:ascii="仿宋_GB2312" w:eastAsia="仿宋_GB2312"/>
          <w:sz w:val="32"/>
          <w:szCs w:val="32"/>
        </w:rPr>
        <w:t xml:space="preserve">    4、会同相关部门编制县级教育经费和项目预算、规划实施并监督管理。</w:t>
      </w:r>
      <w:r>
        <w:rPr>
          <w:rFonts w:hint="eastAsia" w:ascii="仿宋_GB2312" w:eastAsia="仿宋_GB2312"/>
          <w:sz w:val="32"/>
          <w:szCs w:val="32"/>
        </w:rPr>
        <w:br w:type="textWrapping"/>
      </w:r>
      <w:r>
        <w:rPr>
          <w:rFonts w:hint="eastAsia" w:ascii="仿宋_GB2312" w:eastAsia="仿宋_GB2312"/>
          <w:sz w:val="32"/>
          <w:szCs w:val="32"/>
        </w:rPr>
        <w:t xml:space="preserve">    5、指导各级各类学校的思想政治建设和德育工作、体育卫生艺术教育、劳动实践教育和科学教育。</w:t>
      </w:r>
      <w:r>
        <w:rPr>
          <w:rFonts w:hint="eastAsia" w:ascii="仿宋_GB2312" w:eastAsia="仿宋_GB2312"/>
          <w:sz w:val="32"/>
          <w:szCs w:val="32"/>
        </w:rPr>
        <w:br w:type="textWrapping"/>
      </w:r>
      <w:r>
        <w:rPr>
          <w:rFonts w:hint="eastAsia" w:ascii="仿宋_GB2312" w:eastAsia="仿宋_GB2312"/>
          <w:sz w:val="32"/>
          <w:szCs w:val="32"/>
        </w:rPr>
        <w:t xml:space="preserve">    6、指导教育系统单位、各级各类学校的安全和政治。</w:t>
      </w:r>
      <w:r>
        <w:rPr>
          <w:rFonts w:hint="eastAsia" w:ascii="仿宋_GB2312" w:eastAsia="仿宋_GB2312"/>
          <w:sz w:val="32"/>
          <w:szCs w:val="32"/>
        </w:rPr>
        <w:br w:type="textWrapping"/>
      </w:r>
      <w:r>
        <w:rPr>
          <w:rFonts w:hint="eastAsia" w:ascii="仿宋_GB2312" w:eastAsia="仿宋_GB2312"/>
          <w:sz w:val="32"/>
          <w:szCs w:val="32"/>
        </w:rPr>
        <w:t xml:space="preserve">    7、负责义务教育的宏观调整和协调，推进义务教育均衡发展。</w:t>
      </w:r>
      <w:r>
        <w:rPr>
          <w:rFonts w:hint="eastAsia" w:ascii="仿宋_GB2312" w:eastAsia="仿宋_GB2312"/>
          <w:sz w:val="32"/>
          <w:szCs w:val="32"/>
        </w:rPr>
        <w:br w:type="textWrapping"/>
      </w:r>
      <w:r>
        <w:rPr>
          <w:rFonts w:hint="eastAsia" w:ascii="仿宋_GB2312" w:eastAsia="仿宋_GB2312"/>
          <w:sz w:val="32"/>
          <w:szCs w:val="32"/>
        </w:rPr>
        <w:t xml:space="preserve">    8、统筹指导职业教育发展改革和职业指导工作。</w:t>
      </w:r>
      <w:r>
        <w:rPr>
          <w:rFonts w:hint="eastAsia" w:ascii="仿宋_GB2312" w:eastAsia="仿宋_GB2312"/>
          <w:sz w:val="32"/>
          <w:szCs w:val="32"/>
        </w:rPr>
        <w:br w:type="textWrapping"/>
      </w:r>
      <w:r>
        <w:rPr>
          <w:rFonts w:hint="eastAsia" w:ascii="仿宋_GB2312" w:eastAsia="仿宋_GB2312"/>
          <w:sz w:val="32"/>
          <w:szCs w:val="32"/>
        </w:rPr>
        <w:t xml:space="preserve">    9、指导教育系统人才队伍建设，主管教师培养规划和组织实施工作。</w:t>
      </w:r>
      <w:r>
        <w:rPr>
          <w:rFonts w:hint="eastAsia" w:ascii="仿宋_GB2312" w:eastAsia="仿宋_GB2312"/>
          <w:sz w:val="32"/>
          <w:szCs w:val="32"/>
        </w:rPr>
        <w:br w:type="textWrapping"/>
      </w:r>
      <w:r>
        <w:rPr>
          <w:rFonts w:hint="eastAsia" w:ascii="仿宋_GB2312" w:eastAsia="仿宋_GB2312"/>
          <w:sz w:val="32"/>
          <w:szCs w:val="32"/>
        </w:rPr>
        <w:t xml:space="preserve">    10、负责管理学历教育及其考试工作。</w:t>
      </w:r>
      <w:r>
        <w:rPr>
          <w:rFonts w:hint="eastAsia" w:ascii="仿宋_GB2312" w:eastAsia="仿宋_GB2312"/>
          <w:sz w:val="32"/>
          <w:szCs w:val="32"/>
        </w:rPr>
        <w:br w:type="textWrapping"/>
      </w:r>
      <w:r>
        <w:rPr>
          <w:rFonts w:hint="eastAsia" w:ascii="仿宋_GB2312" w:eastAsia="仿宋_GB2312"/>
          <w:sz w:val="32"/>
          <w:szCs w:val="32"/>
        </w:rPr>
        <w:t xml:space="preserve">    11、承担县委教育工作领导小组的具体工作，制定教育督导计划和评估方案。</w:t>
      </w:r>
      <w:r>
        <w:rPr>
          <w:rFonts w:hint="eastAsia" w:ascii="仿宋_GB2312" w:eastAsia="仿宋_GB2312"/>
          <w:sz w:val="32"/>
          <w:szCs w:val="32"/>
        </w:rPr>
        <w:br w:type="textWrapping"/>
      </w:r>
      <w:r>
        <w:rPr>
          <w:rFonts w:hint="eastAsia" w:ascii="仿宋_GB2312" w:eastAsia="仿宋_GB2312"/>
          <w:sz w:val="32"/>
          <w:szCs w:val="32"/>
        </w:rPr>
        <w:t xml:space="preserve">    12、负责贯彻落实全面从严治党要求，会同县委组织部，负责各级各类学校党建工作，落实党组织领导下的校长负责制。</w:t>
      </w:r>
      <w:r>
        <w:rPr>
          <w:rFonts w:hint="eastAsia" w:ascii="仿宋_GB2312" w:eastAsia="仿宋_GB2312"/>
          <w:sz w:val="32"/>
          <w:szCs w:val="32"/>
        </w:rPr>
        <w:br w:type="textWrapping"/>
      </w:r>
      <w:r>
        <w:rPr>
          <w:rFonts w:hint="eastAsia" w:ascii="仿宋_GB2312" w:eastAsia="仿宋_GB2312"/>
          <w:sz w:val="32"/>
          <w:szCs w:val="32"/>
        </w:rPr>
        <w:t xml:space="preserve">    13、负责学校思想政治工作。</w:t>
      </w:r>
      <w:r>
        <w:rPr>
          <w:rFonts w:hint="eastAsia" w:ascii="仿宋_GB2312" w:eastAsia="仿宋_GB2312"/>
          <w:sz w:val="32"/>
          <w:szCs w:val="32"/>
        </w:rPr>
        <w:br w:type="textWrapping"/>
      </w:r>
      <w:r>
        <w:rPr>
          <w:rFonts w:hint="eastAsia" w:ascii="仿宋_GB2312" w:eastAsia="仿宋_GB2312"/>
          <w:sz w:val="32"/>
          <w:szCs w:val="32"/>
        </w:rPr>
        <w:t xml:space="preserve">    14、指导教育系统党风廉政建设和反腐败斗争工作。</w:t>
      </w:r>
      <w:r>
        <w:rPr>
          <w:rFonts w:hint="eastAsia" w:ascii="仿宋_GB2312" w:eastAsia="仿宋_GB2312"/>
          <w:sz w:val="32"/>
          <w:szCs w:val="32"/>
        </w:rPr>
        <w:br w:type="textWrapping"/>
      </w:r>
      <w:r>
        <w:rPr>
          <w:rFonts w:hint="eastAsia" w:ascii="仿宋_GB2312" w:eastAsia="仿宋_GB2312"/>
          <w:sz w:val="32"/>
          <w:szCs w:val="32"/>
        </w:rPr>
        <w:t xml:space="preserve">    15、会同有关部门做好内地新疆英吉沙籍学生教育服务管理工作。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新疆喀什地区英吉沙县教育局（本级）</w:t>
      </w:r>
      <w:r>
        <w:rPr>
          <w:rFonts w:hint="eastAsia" w:ascii="仿宋_GB2312" w:eastAsia="仿宋_GB2312"/>
          <w:sz w:val="32"/>
          <w:szCs w:val="32"/>
        </w:rPr>
        <w:t>部门决算包括：</w:t>
      </w:r>
      <w:r>
        <w:rPr>
          <w:rFonts w:ascii="仿宋_GB2312" w:eastAsia="仿宋_GB2312"/>
          <w:sz w:val="32"/>
          <w:szCs w:val="32"/>
        </w:rPr>
        <w:t>新疆喀什地区英吉沙县教育局（本级）</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新疆喀什地区英吉沙县教育局（本级）</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color w:val="000000"/>
                <w:position w:val="-1"/>
                <w:sz w:val="32"/>
              </w:rPr>
              <w:t>1</w:t>
            </w:r>
          </w:p>
        </w:tc>
        <w:tc>
          <w:tcPr>
            <w:tcW w:w="3870" w:type="dxa"/>
          </w:tcPr>
          <w:p>
            <w:pPr>
              <w:spacing w:line="500" w:lineRule="exact"/>
              <w:ind w:firstLine="640" w:firstLineChars="200"/>
              <w:jc w:val="left"/>
            </w:pPr>
            <w:r>
              <w:rPr>
                <w:rFonts w:eastAsia="Times New Roman"/>
                <w:color w:val="000000"/>
                <w:position w:val="-1"/>
                <w:sz w:val="32"/>
              </w:rPr>
              <w:t>新疆喀什地区英吉沙县教育局（本级</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32,336.87</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，与上年相比，增加26,841.83万元，增长488.47%，增加的主要原因是：</w:t>
      </w:r>
      <w:r>
        <w:rPr>
          <w:rFonts w:hint="eastAsia" w:ascii="仿宋_GB2312" w:eastAsia="仿宋_GB2312"/>
          <w:color w:val="000000" w:themeColor="text1"/>
          <w:sz w:val="32"/>
          <w:szCs w:val="32"/>
        </w:rPr>
        <w:t>自聘教师工资由教育局统一发放，不再由学校发放；学生数、自聘教师、特岗教师人数增加、工资上调；</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27,660.99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，与上年相比，增加22,165.95万元，增长403.38%，增加的主要原因是：</w:t>
      </w:r>
      <w:r>
        <w:rPr>
          <w:rFonts w:hint="eastAsia" w:ascii="仿宋_GB2312" w:eastAsia="仿宋_GB2312"/>
          <w:color w:val="000000" w:themeColor="text1"/>
          <w:sz w:val="32"/>
          <w:szCs w:val="32"/>
        </w:rPr>
        <w:t>自聘教师工资由教育局统一发放，不再由学校发放；学生数、自聘教师、特岗教师人数增加、工资上调；</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4,675.88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，与上年相比，增加4,675.88万元，增长100%，增加的主要原因是：</w:t>
      </w:r>
      <w:r>
        <w:rPr>
          <w:rFonts w:ascii="仿宋_GB2312" w:eastAsia="仿宋_GB2312"/>
          <w:color w:val="000000" w:themeColor="text1"/>
          <w:sz w:val="32"/>
          <w:szCs w:val="32"/>
        </w:rPr>
        <w:t>资金未使用完毕，结转到下年。</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32,336.87</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29,008.44</w:t>
      </w:r>
      <w:r>
        <w:rPr>
          <w:rFonts w:hint="eastAsia" w:ascii="仿宋_GB2312" w:eastAsia="仿宋_GB2312"/>
          <w:color w:val="000000" w:themeColor="text1"/>
          <w:sz w:val="32"/>
          <w:szCs w:val="32"/>
        </w:rPr>
        <w:t>万元，占</w:t>
      </w:r>
      <w:r>
        <w:rPr>
          <w:rFonts w:hint="eastAsia" w:ascii="仿宋_GB2312" w:eastAsia="仿宋_GB2312"/>
          <w:sz w:val="32"/>
          <w:szCs w:val="32"/>
        </w:rPr>
        <w:t>89.71%</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3,328.43</w:t>
      </w:r>
      <w:r>
        <w:rPr>
          <w:rFonts w:hint="eastAsia" w:ascii="仿宋_GB2312" w:eastAsia="仿宋_GB2312"/>
          <w:color w:val="000000" w:themeColor="text1"/>
          <w:sz w:val="32"/>
          <w:szCs w:val="32"/>
        </w:rPr>
        <w:t>万元，占</w:t>
      </w:r>
      <w:r>
        <w:rPr>
          <w:rFonts w:hint="eastAsia" w:ascii="仿宋_GB2312" w:eastAsia="仿宋_GB2312"/>
          <w:sz w:val="32"/>
          <w:szCs w:val="32"/>
        </w:rPr>
        <w:t>10.29%</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况：本年收入年初预算数10,751.23万元</w:t>
      </w:r>
      <w:r>
        <w:rPr>
          <w:rFonts w:hint="eastAsia" w:ascii="仿宋_GB2312" w:eastAsia="仿宋_GB2312"/>
          <w:sz w:val="32"/>
          <w:szCs w:val="32"/>
        </w:rPr>
        <w:t>，决算数32,336.87万元</w:t>
      </w:r>
      <w:r>
        <w:rPr>
          <w:rFonts w:ascii="仿宋_GB2312" w:eastAsia="仿宋_GB2312"/>
          <w:sz w:val="32"/>
          <w:szCs w:val="32"/>
        </w:rPr>
        <w:t>，预决算差异率200.77%，差异主要原因是自聘教师工资由教育局统一发放，不再由学校发放；学生数、自聘教师、特岗教师人数增加、工资上调。</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27,660.99</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2,224.24</w:t>
      </w:r>
      <w:r>
        <w:rPr>
          <w:rFonts w:hint="eastAsia" w:ascii="仿宋_GB2312" w:eastAsia="仿宋_GB2312"/>
          <w:color w:val="000000" w:themeColor="text1"/>
          <w:sz w:val="32"/>
          <w:szCs w:val="32"/>
        </w:rPr>
        <w:t>万元，占</w:t>
      </w:r>
      <w:r>
        <w:rPr>
          <w:rFonts w:hint="eastAsia" w:ascii="仿宋_GB2312" w:eastAsia="仿宋_GB2312"/>
          <w:sz w:val="32"/>
          <w:szCs w:val="32"/>
        </w:rPr>
        <w:t>8.04%</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25,436.75</w:t>
      </w:r>
      <w:r>
        <w:rPr>
          <w:rFonts w:hint="eastAsia" w:ascii="仿宋_GB2312" w:eastAsia="仿宋_GB2312"/>
          <w:color w:val="000000" w:themeColor="text1"/>
          <w:sz w:val="32"/>
          <w:szCs w:val="32"/>
        </w:rPr>
        <w:t>万元，占</w:t>
      </w:r>
      <w:r>
        <w:rPr>
          <w:rFonts w:hint="eastAsia" w:ascii="仿宋_GB2312" w:eastAsia="仿宋_GB2312"/>
          <w:sz w:val="32"/>
          <w:szCs w:val="32"/>
        </w:rPr>
        <w:t>91.96%</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与年初预算数相比情况：本年支出年初预算数10,751.23万元，</w:t>
      </w:r>
      <w:r>
        <w:rPr>
          <w:rFonts w:hint="eastAsia" w:ascii="仿宋_GB2312" w:eastAsia="仿宋_GB2312"/>
          <w:sz w:val="32"/>
          <w:szCs w:val="32"/>
        </w:rPr>
        <w:t>决算数27,660.99万元</w:t>
      </w:r>
      <w:r>
        <w:rPr>
          <w:rFonts w:ascii="仿宋_GB2312" w:eastAsia="仿宋_GB2312"/>
          <w:sz w:val="32"/>
          <w:szCs w:val="32"/>
        </w:rPr>
        <w:t>，预决算差异率157.28%，差异主要原因是自聘教师工资由教育局统一发放，不再由学校发放；学生数、自聘教师、特岗教师人数增加、工资上调。</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29,008.44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，与上年相比，增加23,513.4万元，增长427.9%，增加的主要原因是：自聘教师工资由教育局统一发放，不再由学校发放；学生数、自聘教师、特岗教师人数增加、工资上调。</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24,617.48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，与上年相比，增加19,122.44万元，增长347.99%，增加的主要原因是：</w:t>
      </w:r>
      <w:r>
        <w:rPr>
          <w:rFonts w:ascii="仿宋_GB2312" w:eastAsia="仿宋_GB2312"/>
          <w:sz w:val="32"/>
          <w:szCs w:val="32"/>
        </w:rPr>
        <w:t>自聘教师工资由教育局统一发放，不再由学校发放；学生数、自聘教师、特岗教师人数增加、工资上调。</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895.69</w:t>
      </w:r>
      <w:r>
        <w:rPr>
          <w:rFonts w:hint="eastAsia" w:ascii="仿宋_GB2312" w:eastAsia="仿宋_GB2312"/>
          <w:color w:val="000000" w:themeColor="text1"/>
          <w:sz w:val="32"/>
          <w:szCs w:val="32"/>
        </w:rPr>
        <w:t>万元，项目支出</w:t>
      </w:r>
      <w:r>
        <w:rPr>
          <w:rFonts w:hint="eastAsia" w:ascii="仿宋_GB2312" w:eastAsia="仿宋_GB2312"/>
          <w:sz w:val="32"/>
          <w:szCs w:val="32"/>
        </w:rPr>
        <w:t>23,721.79</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4,390.96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，与上年相比，增加4,390.96万元，增长100%，增加的主要原因是：项目未实施完毕，资金结转到下年度，待项目完成后进行支付。</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10,751.23</w:t>
      </w:r>
      <w:r>
        <w:rPr>
          <w:rFonts w:hint="eastAsia" w:ascii="仿宋_GB2312" w:eastAsia="仿宋_GB2312"/>
          <w:color w:val="000000" w:themeColor="text1"/>
          <w:sz w:val="32"/>
          <w:szCs w:val="32"/>
        </w:rPr>
        <w:t>万元，决算数</w:t>
      </w:r>
      <w:r>
        <w:rPr>
          <w:rFonts w:hint="eastAsia" w:ascii="仿宋_GB2312" w:eastAsia="仿宋_GB2312"/>
          <w:sz w:val="32"/>
          <w:szCs w:val="32"/>
        </w:rPr>
        <w:t>29,008.44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，预决算差异率169.82%，差异主要原因是自聘教师工资由教育局统一发放，不再由学校发放；学生数、自聘教师、特岗教师人数增加、工资上调。</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10,751.23</w:t>
      </w:r>
      <w:r>
        <w:rPr>
          <w:rFonts w:hint="eastAsia" w:ascii="仿宋_GB2312" w:eastAsia="仿宋_GB2312"/>
          <w:color w:val="000000" w:themeColor="text1"/>
          <w:sz w:val="32"/>
          <w:szCs w:val="32"/>
        </w:rPr>
        <w:t>万元，决算数</w:t>
      </w:r>
      <w:r>
        <w:rPr>
          <w:rFonts w:hint="eastAsia" w:ascii="仿宋_GB2312" w:eastAsia="仿宋_GB2312"/>
          <w:sz w:val="32"/>
          <w:szCs w:val="32"/>
        </w:rPr>
        <w:t>24,617.48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，预决算差异率128.97%，差异主要原因是自聘教师工资由教育局统一发放，不再由学校发放；学生数、自聘教师、特岗教师人数增加、工资上调。</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29,008.44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，与上年相比，增加23,513.4万元，增长427.9%，增加的主要原因是：自聘教师工资由教育局统一发放，不再由学校发放；学生数、自聘教师、特岗教师人数增加、工资上调。</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24,617.48</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，与上年相比，增加19,122.44万元，增长347.99%，增加的主要原因是：自聘教师工资由教育局统一发放，不再由学校发放；学生数、自聘教师、特岗教师人数增加、工资上调。</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教育支出24,577.16万元,社会保障和就业支出40.32万元。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工资福利支出10,257.98万元,商品和服务支出132.07万元,对个人和家庭的补助1,386.28万元,债务利息及费用支出121.29万元,资本性支出（基本建设）1,407.86万元,资本性支出11,312万元。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10,751.23</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29,008.44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，预决算差异率169.82%，差异主要原因是自聘教师工资由教育局统一发放，不再由学校发放；学生数、自聘教师、特岗教师人数增加、工资上调。</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10,751.23</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24,617.48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，预决算差异率128.97%，差异主要原因是自聘教师工资由教育局统一发放，不再由学校发放；学生数、自聘教师、特岗教师人数增加、工资上调。</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，与上年相比，增加0万元，增长0%，主要原因是：无政府性基金预算。</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，与上年相比，增加0万元，增长0%，主要原因是：无政府性基金预算。</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，预决算差异率0%，差异主要原因是无政府性基金预算。</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，预决算差异率0%，差异主要原因是无政府性基金预算。</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4,675.88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。与上年相比，增加4,675.88万元，增长100%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4,390.96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。与上年相比，增加4,390.96万元，增长100%。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bookmarkEnd w:id="56"/>
      <w:bookmarkStart w:id="58" w:name="OLE_LINK75"/>
      <w:r>
        <w:rPr>
          <w:rFonts w:hint="eastAsia" w:ascii="仿宋_GB2312" w:eastAsia="仿宋_GB2312"/>
          <w:sz w:val="32"/>
          <w:szCs w:val="32"/>
        </w:rPr>
        <w:t>严格执行“三公”经费只减不增的要求。</w:t>
      </w:r>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0%，与上年相比，增加0万元，增长0%，主要原因是：无此项预算安排；</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4</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100%，与上年相比，增加0万元，增长0%，主要原因是：严格执行“三公”经费只减不增的要求；</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0%，与上年相比，增加0万元，增长0%，主要原因是：无此项预算安排。</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新疆喀什地区英吉沙县教育局（本级）</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无此项预算安排。</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4</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4</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。主要用于车辆维（护）修费、燃油费、过路费等。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4</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无此项预算安排</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新疆喀什地区英吉沙县教育局（本级）</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6</w:t>
      </w:r>
      <w:r>
        <w:rPr>
          <w:rFonts w:hint="eastAsia" w:ascii="仿宋_GB2312" w:eastAsia="仿宋_GB2312"/>
          <w:color w:val="000000" w:themeColor="text1"/>
          <w:sz w:val="32"/>
          <w:szCs w:val="32"/>
        </w:rPr>
        <w:t>万元，决算数4万元</w:t>
      </w:r>
      <w:r>
        <w:rPr>
          <w:rFonts w:ascii="仿宋_GB2312" w:eastAsia="仿宋_GB2312"/>
          <w:color w:val="000000" w:themeColor="text1"/>
          <w:sz w:val="32"/>
          <w:szCs w:val="32"/>
        </w:rPr>
        <w:t>，预决算差异率-33.33%，差异主要原因是压减三公经费支出，坚持与上年持平。</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，预决算差异率0%，差异主要原因是无此项预算安排；</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，预决算差异率0%，差异主要原因是无此项预算安排；</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，预决算差异率-33.33%，差异主要原因是压减三公经费支出，坚持与上年持平；</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无此项预算安排。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新疆喀什地区英吉沙县教育局（本级）日常公用经费282.4万元，与上年相比，增加225.73万元，增长398.32%，增加的主要原因是：本年有上级专项资金，上年无部分专项资金。</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513.15</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507.81</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5.34</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4</w:t>
      </w:r>
      <w:r>
        <w:rPr>
          <w:rFonts w:hint="eastAsia" w:ascii="仿宋_GB2312" w:eastAsia="仿宋_GB2312"/>
          <w:color w:val="000000" w:themeColor="text1"/>
          <w:sz w:val="32"/>
          <w:szCs w:val="32"/>
        </w:rPr>
        <w:t>辆，价值</w:t>
      </w:r>
      <w:r>
        <w:rPr>
          <w:rFonts w:hint="eastAsia" w:ascii="仿宋_GB2312" w:eastAsia="仿宋_GB2312"/>
          <w:sz w:val="32"/>
          <w:szCs w:val="32"/>
        </w:rPr>
        <w:t>56.28</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辆，其他用车主要是：检查用车</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w:t>
      </w:r>
      <w:bookmarkStart w:id="92" w:name="_GoBack"/>
      <w:bookmarkEnd w:id="92"/>
      <w:r>
        <w:rPr>
          <w:rFonts w:ascii="仿宋_GB2312" w:eastAsia="仿宋_GB2312"/>
          <w:sz w:val="32"/>
          <w:szCs w:val="32"/>
        </w:rPr>
        <w:t>全面提升我单位公共服务水平。</w:t>
      </w:r>
      <w:r>
        <w:rPr>
          <w:rFonts w:hint="eastAsia" w:ascii="仿宋_GB2312" w:eastAsia="仿宋_GB2312"/>
          <w:sz w:val="32"/>
          <w:szCs w:val="32"/>
        </w:rPr>
        <w:t>英吉沙</w:t>
      </w:r>
      <w:r>
        <w:rPr>
          <w:rFonts w:hint="eastAsia" w:ascii="仿宋_GB2312" w:eastAsia="仿宋_GB2312"/>
          <w:sz w:val="32"/>
          <w:szCs w:val="32"/>
          <w:lang w:eastAsia="zh-CN"/>
        </w:rPr>
        <w:t>县教育局</w:t>
      </w:r>
      <w:r>
        <w:rPr>
          <w:rFonts w:ascii="仿宋_GB2312" w:eastAsia="仿宋_GB2312"/>
          <w:sz w:val="32"/>
          <w:szCs w:val="32"/>
        </w:rPr>
        <w:t>2018年度部门预算总额为</w:t>
      </w:r>
      <w:r>
        <w:rPr>
          <w:rFonts w:hint="eastAsia" w:ascii="仿宋_GB2312" w:eastAsia="仿宋_GB2312"/>
          <w:sz w:val="32"/>
          <w:szCs w:val="32"/>
          <w:lang w:val="en-US" w:eastAsia="zh-CN"/>
        </w:rPr>
        <w:t>0</w:t>
      </w:r>
      <w:r>
        <w:rPr>
          <w:rFonts w:ascii="仿宋_GB2312" w:eastAsia="仿宋_GB2312"/>
          <w:sz w:val="32"/>
          <w:szCs w:val="32"/>
        </w:rPr>
        <w:t>万元，执行金额为</w:t>
      </w:r>
      <w:r>
        <w:rPr>
          <w:rFonts w:hint="eastAsia" w:ascii="仿宋_GB2312" w:eastAsia="仿宋_GB2312"/>
          <w:sz w:val="32"/>
          <w:szCs w:val="32"/>
          <w:lang w:val="en-US" w:eastAsia="zh-CN"/>
        </w:rPr>
        <w:t>0</w:t>
      </w:r>
      <w:r>
        <w:rPr>
          <w:rFonts w:ascii="仿宋_GB2312" w:eastAsia="仿宋_GB2312"/>
          <w:sz w:val="32"/>
          <w:szCs w:val="32"/>
        </w:rPr>
        <w:t>万元，预算执行率为100%。本次自评共涉及项目数</w:t>
      </w:r>
      <w:r>
        <w:rPr>
          <w:rFonts w:hint="eastAsia" w:ascii="仿宋_GB2312" w:eastAsia="仿宋_GB2312"/>
          <w:sz w:val="32"/>
          <w:szCs w:val="32"/>
          <w:lang w:val="en-US" w:eastAsia="zh-CN"/>
        </w:rPr>
        <w:t>0</w:t>
      </w:r>
      <w:r>
        <w:rPr>
          <w:rFonts w:ascii="仿宋_GB2312" w:eastAsia="仿宋_GB2312"/>
          <w:sz w:val="32"/>
          <w:szCs w:val="32"/>
        </w:rPr>
        <w:t>个，其中已完成项目</w:t>
      </w:r>
      <w:r>
        <w:rPr>
          <w:rFonts w:hint="eastAsia" w:ascii="仿宋_GB2312" w:eastAsia="仿宋_GB2312"/>
          <w:sz w:val="32"/>
          <w:szCs w:val="32"/>
          <w:lang w:val="en-US" w:eastAsia="zh-CN"/>
        </w:rPr>
        <w:t>0</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205（类）99（款）99（项）指：其他教育支出。205（类）02（款）99（项）指：其他普通教育支出。205（类）02（款）02（项）指：小学教育。205（类）02（款）01（项）指：学前教育。205（类）03（款）99（项）指：其他职业教育支出。205（类）02（款）04（项）指：高中教育。205（类）02（款）03（项）指：初中教育。205（类）03（款）04（项）指：职业高中教育。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3200" w:firstLineChars="1000"/>
        <w:jc w:val="center"/>
        <w:rPr>
          <w:rFonts w:ascii="仿宋_GB2312" w:eastAsia="仿宋_GB2312"/>
          <w:sz w:val="32"/>
          <w:szCs w:val="32"/>
        </w:rPr>
      </w:pPr>
      <w:r>
        <w:rPr>
          <w:rFonts w:ascii="仿宋_GB2312" w:eastAsia="仿宋_GB2312"/>
          <w:sz w:val="32"/>
          <w:szCs w:val="32"/>
        </w:rPr>
        <w:t>英吉沙县教育局</w:t>
      </w:r>
    </w:p>
    <w:p>
      <w:pPr>
        <w:spacing w:line="540" w:lineRule="exact"/>
        <w:ind w:firstLine="3200" w:firstLineChars="1000"/>
        <w:jc w:val="center"/>
        <w:rPr>
          <w:rFonts w:ascii="仿宋_GB2312" w:eastAsia="仿宋_GB2312"/>
          <w:sz w:val="32"/>
          <w:szCs w:val="32"/>
        </w:rPr>
      </w:pPr>
      <w:r>
        <w:rPr>
          <w:rFonts w:hint="eastAsia" w:ascii="仿宋_GB2312" w:eastAsia="仿宋_GB2312"/>
          <w:sz w:val="32"/>
          <w:szCs w:val="32"/>
        </w:rPr>
        <w:t>2019年8月15日</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ascii="宋体" w:hAnsi="宋体" w:eastAsia="宋体"/>
        <w:sz w:val="28"/>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- 5 -</w:t>
    </w:r>
    <w:r>
      <w:rPr>
        <w:rStyle w:val="8"/>
        <w:rFonts w:ascii="宋体" w:hAnsi="宋体" w:eastAsia="宋体"/>
        <w:sz w:val="28"/>
      </w:rPr>
      <w:fldChar w:fldCharType="end"/>
    </w:r>
    <w:r>
      <w:rPr>
        <w:rStyle w:val="8"/>
        <w:rFonts w:hint="eastAsia" w:ascii="宋体" w:hAnsi="宋体" w:eastAsia="宋体"/>
        <w:sz w:val="28"/>
      </w:rPr>
      <w:t xml:space="preserve"> </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- 12 -</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944C8"/>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01F9"/>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67C49"/>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ED71890"/>
    <w:rsid w:val="0F4C7B96"/>
    <w:rsid w:val="0FFB575E"/>
    <w:rsid w:val="10845F1B"/>
    <w:rsid w:val="11463A00"/>
    <w:rsid w:val="11600918"/>
    <w:rsid w:val="11B0398F"/>
    <w:rsid w:val="13B960C5"/>
    <w:rsid w:val="152777F4"/>
    <w:rsid w:val="15C674B6"/>
    <w:rsid w:val="16CA36ED"/>
    <w:rsid w:val="18D54A0D"/>
    <w:rsid w:val="1A4106A0"/>
    <w:rsid w:val="1A4F5437"/>
    <w:rsid w:val="1AB77CD0"/>
    <w:rsid w:val="1E597503"/>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3F7337DB"/>
    <w:rsid w:val="41FC306C"/>
    <w:rsid w:val="43955E71"/>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0127184"/>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246D4F"/>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14</Pages>
  <Words>943</Words>
  <Characters>5380</Characters>
  <Lines>44</Lines>
  <Paragraphs>12</Paragraphs>
  <TotalTime>0</TotalTime>
  <ScaleCrop>false</ScaleCrop>
  <LinksUpToDate>false</LinksUpToDate>
  <CharactersWithSpaces>6311</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2021-07-24T08:37:19Z</dcterms:modified>
  <cp:revision>812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